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市社科联</w:t>
      </w:r>
      <w:r>
        <w:rPr>
          <w:rFonts w:hint="eastAsia" w:ascii="方正小标宋简体" w:hAnsi="方正小标宋简体" w:eastAsia="方正小标宋简体" w:cs="方正小标宋简体"/>
          <w:sz w:val="44"/>
          <w:szCs w:val="44"/>
        </w:rPr>
        <w:t>整体绩效自评结果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2" w:firstLineChars="200"/>
        <w:jc w:val="both"/>
        <w:rPr>
          <w:rFonts w:hint="default" w:ascii="仿宋_GB2312" w:hAnsi="宋体" w:eastAsia="仿宋_GB2312" w:cs="Times New Roman"/>
          <w:b w:val="0"/>
          <w:bCs w:val="0"/>
          <w:kern w:val="0"/>
          <w:sz w:val="32"/>
          <w:szCs w:val="32"/>
          <w:lang w:val="en-US" w:eastAsia="zh-CN"/>
        </w:rPr>
      </w:pPr>
      <w:r>
        <w:rPr>
          <w:rFonts w:hint="eastAsia" w:ascii="仿宋" w:hAnsi="仿宋" w:eastAsia="仿宋" w:cs="仿宋"/>
          <w:b/>
          <w:bCs/>
          <w:i w:val="0"/>
          <w:caps w:val="0"/>
          <w:color w:val="333333"/>
          <w:spacing w:val="0"/>
          <w:sz w:val="32"/>
          <w:szCs w:val="32"/>
          <w:shd w:val="clear" w:color="auto" w:fill="FFFFFF"/>
        </w:rPr>
        <w:t>20</w:t>
      </w:r>
      <w:r>
        <w:rPr>
          <w:rFonts w:hint="eastAsia" w:ascii="仿宋" w:hAnsi="仿宋" w:eastAsia="仿宋" w:cs="仿宋"/>
          <w:b/>
          <w:bCs/>
          <w:i w:val="0"/>
          <w:caps w:val="0"/>
          <w:color w:val="333333"/>
          <w:spacing w:val="0"/>
          <w:sz w:val="32"/>
          <w:szCs w:val="32"/>
          <w:shd w:val="clear" w:color="auto" w:fill="FFFFFF"/>
          <w:lang w:val="en-US" w:eastAsia="zh-CN"/>
        </w:rPr>
        <w:t>2</w:t>
      </w:r>
      <w:r>
        <w:rPr>
          <w:rFonts w:hint="default" w:ascii="仿宋" w:hAnsi="仿宋" w:eastAsia="仿宋" w:cs="仿宋"/>
          <w:b/>
          <w:bCs/>
          <w:i w:val="0"/>
          <w:caps w:val="0"/>
          <w:color w:val="333333"/>
          <w:spacing w:val="0"/>
          <w:sz w:val="32"/>
          <w:szCs w:val="32"/>
          <w:shd w:val="clear" w:color="auto" w:fill="FFFFFF"/>
          <w:lang w:val="en-US" w:eastAsia="zh-CN"/>
        </w:rPr>
        <w:t>3</w:t>
      </w:r>
      <w:r>
        <w:rPr>
          <w:rFonts w:hint="eastAsia" w:ascii="仿宋" w:hAnsi="仿宋" w:eastAsia="仿宋" w:cs="仿宋"/>
          <w:b/>
          <w:bCs/>
          <w:i w:val="0"/>
          <w:caps w:val="0"/>
          <w:color w:val="333333"/>
          <w:spacing w:val="0"/>
          <w:sz w:val="32"/>
          <w:szCs w:val="32"/>
          <w:shd w:val="clear" w:color="auto" w:fill="FFFFFF"/>
        </w:rPr>
        <w:t>年部门决算支出</w:t>
      </w:r>
      <w:r>
        <w:rPr>
          <w:rFonts w:hint="default" w:ascii="仿宋" w:hAnsi="仿宋" w:eastAsia="仿宋" w:cs="仿宋"/>
          <w:b/>
          <w:bCs/>
          <w:i w:val="0"/>
          <w:caps w:val="0"/>
          <w:color w:val="333333"/>
          <w:spacing w:val="0"/>
          <w:sz w:val="32"/>
          <w:szCs w:val="32"/>
          <w:shd w:val="clear" w:color="auto" w:fill="FFFFFF"/>
          <w:lang w:val="en-US" w:eastAsia="zh-CN"/>
        </w:rPr>
        <w:t>325.8</w:t>
      </w:r>
      <w:r>
        <w:rPr>
          <w:rFonts w:hint="eastAsia" w:ascii="仿宋" w:hAnsi="仿宋" w:eastAsia="仿宋" w:cs="仿宋"/>
          <w:b/>
          <w:bCs/>
          <w:i w:val="0"/>
          <w:caps w:val="0"/>
          <w:color w:val="333333"/>
          <w:spacing w:val="0"/>
          <w:sz w:val="32"/>
          <w:szCs w:val="32"/>
          <w:shd w:val="clear" w:color="auto" w:fill="FFFFFF"/>
        </w:rPr>
        <w:t>万元。其中：基本支出</w:t>
      </w:r>
      <w:r>
        <w:rPr>
          <w:rFonts w:hint="default" w:ascii="仿宋" w:hAnsi="仿宋" w:eastAsia="仿宋" w:cs="仿宋"/>
          <w:b/>
          <w:bCs/>
          <w:i w:val="0"/>
          <w:caps w:val="0"/>
          <w:color w:val="333333"/>
          <w:spacing w:val="0"/>
          <w:sz w:val="32"/>
          <w:szCs w:val="32"/>
          <w:shd w:val="clear" w:color="auto" w:fill="FFFFFF"/>
          <w:lang w:val="en-US" w:eastAsia="zh-CN"/>
        </w:rPr>
        <w:t>219.1</w:t>
      </w:r>
      <w:r>
        <w:rPr>
          <w:rFonts w:hint="eastAsia" w:ascii="仿宋" w:hAnsi="仿宋" w:eastAsia="仿宋" w:cs="仿宋"/>
          <w:b/>
          <w:bCs/>
          <w:i w:val="0"/>
          <w:caps w:val="0"/>
          <w:color w:val="333333"/>
          <w:spacing w:val="0"/>
          <w:sz w:val="32"/>
          <w:szCs w:val="32"/>
          <w:shd w:val="clear" w:color="auto" w:fill="FFFFFF"/>
        </w:rPr>
        <w:t>万元，占支出的</w:t>
      </w:r>
      <w:r>
        <w:rPr>
          <w:rFonts w:hint="default" w:ascii="仿宋" w:hAnsi="仿宋" w:eastAsia="仿宋" w:cs="仿宋"/>
          <w:b/>
          <w:bCs/>
          <w:i w:val="0"/>
          <w:caps w:val="0"/>
          <w:color w:val="333333"/>
          <w:spacing w:val="0"/>
          <w:sz w:val="32"/>
          <w:szCs w:val="32"/>
          <w:shd w:val="clear" w:color="auto" w:fill="FFFFFF"/>
          <w:lang w:val="en-US" w:eastAsia="zh-CN"/>
        </w:rPr>
        <w:t>67</w:t>
      </w:r>
      <w:r>
        <w:rPr>
          <w:rFonts w:hint="eastAsia" w:ascii="仿宋" w:hAnsi="仿宋" w:eastAsia="仿宋" w:cs="仿宋"/>
          <w:b/>
          <w:bCs/>
          <w:i w:val="0"/>
          <w:caps w:val="0"/>
          <w:color w:val="333333"/>
          <w:spacing w:val="0"/>
          <w:sz w:val="32"/>
          <w:szCs w:val="32"/>
          <w:shd w:val="clear" w:color="auto" w:fill="FFFFFF"/>
        </w:rPr>
        <w:t>%。项目支出</w:t>
      </w:r>
      <w:r>
        <w:rPr>
          <w:rFonts w:hint="default" w:ascii="仿宋" w:hAnsi="仿宋" w:eastAsia="仿宋" w:cs="仿宋"/>
          <w:b/>
          <w:bCs/>
          <w:i w:val="0"/>
          <w:caps w:val="0"/>
          <w:color w:val="333333"/>
          <w:spacing w:val="0"/>
          <w:sz w:val="32"/>
          <w:szCs w:val="32"/>
          <w:shd w:val="clear" w:color="auto" w:fill="FFFFFF"/>
          <w:lang w:val="en-US" w:eastAsia="zh-CN"/>
        </w:rPr>
        <w:t>106.7</w:t>
      </w:r>
      <w:r>
        <w:rPr>
          <w:rFonts w:hint="eastAsia" w:ascii="仿宋" w:hAnsi="仿宋" w:eastAsia="仿宋" w:cs="仿宋"/>
          <w:b/>
          <w:bCs/>
          <w:i w:val="0"/>
          <w:caps w:val="0"/>
          <w:color w:val="333333"/>
          <w:spacing w:val="0"/>
          <w:sz w:val="32"/>
          <w:szCs w:val="32"/>
          <w:shd w:val="clear" w:color="auto" w:fill="FFFFFF"/>
        </w:rPr>
        <w:t>万元，占支出的</w:t>
      </w:r>
      <w:r>
        <w:rPr>
          <w:rFonts w:hint="default" w:ascii="仿宋" w:hAnsi="仿宋" w:eastAsia="仿宋" w:cs="仿宋"/>
          <w:b/>
          <w:bCs/>
          <w:i w:val="0"/>
          <w:caps w:val="0"/>
          <w:color w:val="333333"/>
          <w:spacing w:val="0"/>
          <w:sz w:val="32"/>
          <w:szCs w:val="32"/>
          <w:shd w:val="clear" w:color="auto" w:fill="FFFFFF"/>
          <w:lang w:val="en-US" w:eastAsia="zh-CN"/>
        </w:rPr>
        <w:t>33</w:t>
      </w:r>
      <w:r>
        <w:rPr>
          <w:rFonts w:hint="eastAsia" w:ascii="仿宋" w:hAnsi="仿宋" w:eastAsia="仿宋" w:cs="仿宋"/>
          <w:b/>
          <w:bCs/>
          <w:i w:val="0"/>
          <w:caps w:val="0"/>
          <w:color w:val="333333"/>
          <w:spacing w:val="0"/>
          <w:sz w:val="32"/>
          <w:szCs w:val="32"/>
          <w:shd w:val="clear" w:color="auto" w:fill="FFFFFF"/>
        </w:rPr>
        <w:t>%。</w:t>
      </w:r>
      <w:r>
        <w:rPr>
          <w:rFonts w:hint="eastAsia" w:ascii="仿宋" w:hAnsi="仿宋" w:eastAsia="仿宋" w:cs="仿宋"/>
          <w:b/>
          <w:bCs/>
          <w:i w:val="0"/>
          <w:caps w:val="0"/>
          <w:color w:val="333333"/>
          <w:spacing w:val="0"/>
          <w:sz w:val="32"/>
          <w:szCs w:val="32"/>
          <w:shd w:val="clear" w:color="auto" w:fill="FFFFFF"/>
          <w:lang w:eastAsia="zh-CN"/>
        </w:rPr>
        <w:t>其中项目支出共分五项：</w:t>
      </w:r>
      <w:r>
        <w:rPr>
          <w:rFonts w:hint="eastAsia" w:ascii="仿宋_GB2312" w:hAnsi="宋体" w:eastAsia="仿宋_GB2312" w:cs="Times New Roman"/>
          <w:b w:val="0"/>
          <w:bCs w:val="0"/>
          <w:kern w:val="0"/>
          <w:sz w:val="32"/>
          <w:szCs w:val="32"/>
          <w:lang w:val="en-US" w:eastAsia="zh-CN"/>
        </w:rPr>
        <w:t>扶持优势文旅产业发展（宣传文化事业）专项资金、社科普及研究工作经费、延安精神研究会工作、鄂州市社科界第三次代表大会会议费及社科联工作运行保障经费；其中扶持优势文旅产业发展（宣传文化事业）专项资金预算金额60万，实际支出49万，执行力82%；延安精神研究会工作年初预算15万，实际支出15万，执行率100%；社科普及研究工作经费年初预算30万，实际完成30万，执行力100%；鄂州市社科界第三次代表大会会议费年初预算10万，实际支出7万，执行率70%；社科联工作运行保障经费6万，实际支出6万，执行率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宋体" w:eastAsia="仿宋_GB2312" w:cs="Times New Roman"/>
          <w:b w:val="0"/>
          <w:bCs w:val="0"/>
          <w:kern w:val="0"/>
          <w:sz w:val="32"/>
          <w:szCs w:val="32"/>
          <w:lang w:val="en-US" w:eastAsia="zh-CN"/>
        </w:rPr>
      </w:pPr>
      <w:r>
        <w:rPr>
          <w:rFonts w:hint="eastAsia" w:ascii="仿宋_GB2312" w:hAnsi="宋体" w:eastAsia="仿宋_GB2312" w:cs="Times New Roman"/>
          <w:b w:val="0"/>
          <w:bCs w:val="0"/>
          <w:kern w:val="0"/>
          <w:sz w:val="32"/>
          <w:szCs w:val="32"/>
          <w:lang w:val="en-US" w:eastAsia="zh-CN"/>
        </w:rPr>
        <w:t>重点项目：扶持优势文旅产业发展（宣传文化事业）专项资金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default" w:ascii="仿宋_GB2312" w:hAnsi="宋体" w:eastAsia="仿宋_GB2312" w:cs="Times New Roman"/>
          <w:b w:val="0"/>
          <w:bCs w:val="0"/>
          <w:kern w:val="0"/>
          <w:sz w:val="32"/>
          <w:szCs w:val="32"/>
          <w:lang w:val="en-US" w:eastAsia="zh-CN"/>
        </w:rPr>
      </w:pPr>
      <w:r>
        <w:rPr>
          <w:rFonts w:hint="eastAsia" w:ascii="仿宋_GB2312" w:hAnsi="宋体" w:eastAsia="仿宋_GB2312" w:cs="Times New Roman"/>
          <w:b w:val="0"/>
          <w:bCs w:val="0"/>
          <w:kern w:val="0"/>
          <w:sz w:val="32"/>
          <w:szCs w:val="32"/>
          <w:lang w:val="en-US" w:eastAsia="zh-CN"/>
        </w:rPr>
        <w:t>2023年市社科联扶持优势文旅产业发展（宣传文化事业）专项资金预算金额60万，实际支出49万，共包括三部分内容</w:t>
      </w:r>
      <w:r>
        <w:rPr>
          <w:rFonts w:hint="default" w:ascii="仿宋_GB2312" w:hAnsi="宋体" w:eastAsia="仿宋_GB2312" w:cs="Times New Roman"/>
          <w:b w:val="0"/>
          <w:bCs w:val="0"/>
          <w:kern w:val="0"/>
          <w:sz w:val="32"/>
          <w:szCs w:val="32"/>
          <w:lang w:val="en-US" w:eastAsia="zh-CN"/>
        </w:rPr>
        <w:t>;</w:t>
      </w:r>
      <w:r>
        <w:rPr>
          <w:rFonts w:hint="eastAsia" w:ascii="仿宋_GB2312" w:hAnsi="宋体" w:eastAsia="仿宋_GB2312" w:cs="Times New Roman"/>
          <w:b w:val="0"/>
          <w:bCs w:val="0"/>
          <w:kern w:val="0"/>
          <w:sz w:val="32"/>
          <w:szCs w:val="32"/>
          <w:lang w:val="en-US" w:eastAsia="zh-CN"/>
        </w:rPr>
        <w:t>一是2023年课题立项、结项评审费、课题资助费共20万元；二是《地方佚志研究》杂志编辑出版预算金额20万，实际发生费用20万；三是习近平理论研讨会活动预算金额20万，实际发生费用9万元。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default" w:ascii="仿宋_GB2312" w:hAnsi="宋体" w:eastAsia="仿宋_GB2312" w:cs="Times New Roman"/>
          <w:b w:val="0"/>
          <w:bCs w:val="0"/>
          <w:kern w:val="0"/>
          <w:sz w:val="32"/>
          <w:szCs w:val="32"/>
          <w:lang w:val="en-US" w:eastAsia="zh-CN"/>
        </w:rPr>
      </w:pPr>
      <w:r>
        <w:rPr>
          <w:rFonts w:hint="default" w:ascii="仿宋_GB2312" w:hAnsi="宋体" w:eastAsia="仿宋_GB2312" w:cs="Times New Roman"/>
          <w:b w:val="0"/>
          <w:bCs w:val="0"/>
          <w:kern w:val="0"/>
          <w:sz w:val="32"/>
          <w:szCs w:val="32"/>
          <w:lang w:val="en-US" w:eastAsia="zh-CN"/>
        </w:rPr>
        <w:t>该项目围绕中心、服务大局，组织全市各级各部门、全市社科工作者对我市改革发展的重点、难点问题开展调查研究，广泛开展调研为我市改革发展出谋划策，成果受到市领导的充分肯定，已经成为推动我市社科事业发展的一个优秀品牌。</w:t>
      </w:r>
    </w:p>
    <w:p>
      <w:pPr>
        <w:numPr>
          <w:ilvl w:val="0"/>
          <w:numId w:val="0"/>
        </w:num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简要概述年度部门整体绩效目标。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default" w:ascii="仿宋_GB2312" w:hAnsi="宋体" w:eastAsia="仿宋_GB2312" w:cs="Times New Roman"/>
          <w:b w:val="0"/>
          <w:bCs w:val="0"/>
          <w:kern w:val="0"/>
          <w:sz w:val="32"/>
          <w:szCs w:val="32"/>
          <w:lang w:val="en-US" w:eastAsia="zh-CN"/>
        </w:rPr>
      </w:pPr>
      <w:r>
        <w:rPr>
          <w:rFonts w:hint="default" w:ascii="仿宋_GB2312" w:hAnsi="仿宋" w:eastAsia="仿宋_GB2312" w:cs="仿宋_GB2312"/>
          <w:sz w:val="32"/>
          <w:szCs w:val="32"/>
          <w:lang w:val="en-US"/>
        </w:rPr>
        <w:t>2023</w:t>
      </w:r>
      <w:r>
        <w:rPr>
          <w:rFonts w:hint="eastAsia" w:ascii="仿宋_GB2312" w:hAnsi="仿宋" w:eastAsia="仿宋_GB2312" w:cs="仿宋_GB2312"/>
          <w:sz w:val="32"/>
          <w:szCs w:val="32"/>
          <w:lang w:val="en-US" w:eastAsia="zh-CN"/>
        </w:rPr>
        <w:t>年市社科联</w:t>
      </w:r>
      <w:r>
        <w:rPr>
          <w:rFonts w:hint="eastAsia" w:ascii="仿宋_GB2312" w:hAnsi="宋体" w:eastAsia="仿宋_GB2312" w:cs="Times New Roman"/>
          <w:kern w:val="0"/>
          <w:sz w:val="32"/>
          <w:szCs w:val="32"/>
          <w:lang w:val="en-US" w:eastAsia="zh-CN"/>
        </w:rPr>
        <w:t>部门预算共五个项目：扶持优势文旅产业发展（宣传文化事业）专项资金、社科普及研究工作经费、延安精神研究会工作、</w:t>
      </w:r>
      <w:r>
        <w:rPr>
          <w:rFonts w:hint="eastAsia" w:ascii="仿宋_GB2312" w:hAnsi="宋体" w:eastAsia="仿宋_GB2312" w:cs="Times New Roman"/>
          <w:b w:val="0"/>
          <w:bCs w:val="0"/>
          <w:kern w:val="0"/>
          <w:sz w:val="32"/>
          <w:szCs w:val="32"/>
          <w:lang w:val="en-US" w:eastAsia="zh-CN"/>
        </w:rPr>
        <w:t>鄂州市社科界第三次代表大会会议费及社科联工作运行保障经费</w:t>
      </w:r>
      <w:r>
        <w:rPr>
          <w:rFonts w:hint="eastAsia" w:ascii="仿宋_GB2312" w:hAnsi="宋体" w:eastAsia="仿宋_GB2312" w:cs="Times New Roman"/>
          <w:kern w:val="0"/>
          <w:sz w:val="32"/>
          <w:szCs w:val="32"/>
          <w:lang w:val="en-US" w:eastAsia="zh-CN"/>
        </w:rPr>
        <w:t>；其中扶持优势文旅产业发展（宣传文化事业）专项资金预算金额60万，一是用于鄂州市社科应用课题的评审、结项及资助；二是用于《地方佚志研究》杂志的出版发行；三是用于习近平理论征文研讨会的评奖和印刷出版，此项目实际支出49万，执行力82%；延安精神研究会工作年初预算15万，实际支出15万，主要用于鄂州市延安精神研究的日常工作开展活动，执行率100%；社科普及研究工作经费年初预算30万，实际完成30万，主要用于《鄂州社会科学》杂志的编辑出版以及社科普及基地资助，执行力100%；</w:t>
      </w:r>
      <w:r>
        <w:rPr>
          <w:rFonts w:hint="eastAsia" w:ascii="仿宋_GB2312" w:hAnsi="宋体" w:eastAsia="仿宋_GB2312" w:cs="Times New Roman"/>
          <w:b w:val="0"/>
          <w:bCs w:val="0"/>
          <w:kern w:val="0"/>
          <w:sz w:val="32"/>
          <w:szCs w:val="32"/>
          <w:lang w:val="en-US" w:eastAsia="zh-CN"/>
        </w:rPr>
        <w:t>鄂州市社科界第三次代表大会会议费主要用于2023年市社科联换届工作的开展，年初预算10万，实际支出7万，执行率70%；社科联工作运行保障经费预算6万，主要用于市社科联两名聘用人员的劳务费开支，实际支出6万，执行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高度重视，加强了预算绩效管理的组织领导，为进一步做好预算绩效管理工作，党组班子会议研究，成立了主席为组长，科室负责人为成员的预算工作领导小组，领导小组设在办公室，具体落实预算绩效管理制度工作。主席在会议上强调，全体干部职工工高度重视预算绩效管理工作，把有限的资金用到刀刃上，确保资金使用效益，从日常工作资金使用抓起，树立预算绩效管理意识，营造好预算绩效管理的良好氛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从基础上抓起，出以了预算绩效管理制度，要求严格遵照执行，要求有5000元以上的要申报预算绩效管理。同时，对日常的专项工作经费，也要坚持预算绩效管理模式，严格按照部门整体支出绩效管理要求，让有限的资金用到刀刃上，坚决杜绝不必要开支，充分发挥财政资金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加强了监督，严格执行预算绩效管理制度。办公室对每一笔较大资金支出都进行认真审核，看是否达到了预算绩效评价的限额，是否符合预算绩效管理制度。</w:t>
      </w:r>
    </w:p>
    <w:p>
      <w:pPr>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市社科联财务部门在前期调研的基础上，完成了项目绩效评价工作工作，通过评价标准、指标体系等明确了评价目的、方法、评估原则，严格按照实际支出的数据采集，通过调研、相关文件解读，进行数据分析、指标评分和报告撰写等环节按时完成本次绩效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hAnsi="仿宋" w:eastAsia="仿宋_GB2312" w:cs="仿宋_GB2312"/>
          <w:sz w:val="32"/>
          <w:szCs w:val="32"/>
        </w:rPr>
        <w:t>运行成本指标完成情况</w:t>
      </w:r>
      <w:r>
        <w:rPr>
          <w:rFonts w:hint="eastAsia" w:ascii="仿宋_GB2312" w:hAnsi="仿宋" w:eastAsia="仿宋_GB2312" w:cs="仿宋_GB2312"/>
          <w:sz w:val="32"/>
          <w:szCs w:val="32"/>
          <w:lang w:eastAsia="zh-CN"/>
        </w:rPr>
        <w:t>简要分析</w:t>
      </w:r>
      <w:r>
        <w:rPr>
          <w:rFonts w:hint="eastAsia" w:ascii="仿宋_GB2312" w:hAnsi="仿宋"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市社科联运行成本指标完成情况较好，完成率</w:t>
      </w:r>
      <w:r>
        <w:rPr>
          <w:rFonts w:hint="eastAsia" w:ascii="仿宋_GB2312" w:hAnsi="仿宋" w:eastAsia="仿宋_GB2312" w:cs="仿宋_GB2312"/>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管理效率指标完成情况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市社科联管理效率指标完成情况较好，完成率</w:t>
      </w:r>
      <w:r>
        <w:rPr>
          <w:rFonts w:hint="eastAsia" w:ascii="仿宋_GB2312" w:hAnsi="仿宋" w:eastAsia="仿宋_GB2312" w:cs="仿宋_GB2312"/>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履职效能指标完成情况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市社科联履职效能指标完成情况较好，完成率</w:t>
      </w:r>
      <w:r>
        <w:rPr>
          <w:rFonts w:hint="eastAsia" w:ascii="仿宋_GB2312" w:hAnsi="仿宋" w:eastAsia="仿宋_GB2312" w:cs="仿宋_GB2312"/>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4.</w:t>
      </w:r>
      <w:r>
        <w:rPr>
          <w:rFonts w:hint="eastAsia" w:ascii="仿宋_GB2312" w:hAnsi="仿宋" w:eastAsia="仿宋_GB2312" w:cs="仿宋_GB2312"/>
          <w:sz w:val="32"/>
          <w:szCs w:val="32"/>
        </w:rPr>
        <w:t>社会效应指标完成情况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市社科联社会效应指标完成情况较好，完成率100%。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可持续发展能力指标完成情况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市社科联可持续发展能力指标完成情况较好，完成率100%。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default" w:ascii="仿宋_GB2312" w:hAnsi="仿宋" w:eastAsia="仿宋_GB2312" w:cs="仿宋_GB2312"/>
          <w:sz w:val="32"/>
          <w:szCs w:val="32"/>
          <w:lang w:val="en-US" w:eastAsia="zh-CN"/>
        </w:rPr>
        <w:t>6</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满意度指标完成情况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市社科联2023年度三项指标社会满意度完成情况较好，社会层面反馈情况较好完成情况为100%。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pPr>
        <w:ind w:firstLine="640" w:firstLineChars="200"/>
        <w:outlineLvl w:val="0"/>
        <w:rPr>
          <w:rFonts w:hint="eastAsia" w:ascii="仿宋_GB2312" w:hAnsi="楷体_GB2312" w:eastAsia="仿宋_GB2312" w:cs="仿宋_GB2312"/>
          <w:sz w:val="32"/>
          <w:szCs w:val="32"/>
        </w:rPr>
      </w:pPr>
      <w:r>
        <w:rPr>
          <w:rFonts w:hint="eastAsia" w:ascii="仿宋_GB2312" w:hAnsi="宋体" w:eastAsia="仿宋_GB2312" w:cs="Times New Roman"/>
          <w:kern w:val="0"/>
          <w:sz w:val="32"/>
          <w:szCs w:val="32"/>
          <w:lang w:val="en-US" w:eastAsia="zh-CN"/>
        </w:rPr>
        <w:t>市社科联</w:t>
      </w:r>
      <w:r>
        <w:rPr>
          <w:rFonts w:hint="default" w:ascii="仿宋_GB2312" w:hAnsi="宋体" w:eastAsia="仿宋_GB2312" w:cs="Times New Roman"/>
          <w:kern w:val="0"/>
          <w:sz w:val="32"/>
          <w:szCs w:val="32"/>
          <w:lang w:val="en-US"/>
        </w:rPr>
        <w:t>2022</w:t>
      </w:r>
      <w:r>
        <w:rPr>
          <w:rFonts w:hint="eastAsia" w:ascii="仿宋_GB2312" w:hAnsi="宋体" w:eastAsia="仿宋_GB2312" w:cs="Times New Roman"/>
          <w:kern w:val="0"/>
          <w:sz w:val="32"/>
          <w:szCs w:val="32"/>
          <w:lang w:val="en-US" w:eastAsia="zh-CN"/>
        </w:rPr>
        <w:t>年部门预算共三个项目：扶持优势文旅产业发展（宣传文化事业）专项资金、社科普及研究工作经费及延安精神研究会工作；其中扶持优势文旅产业发展（宣传文化事业）专项资金预算金额33万，实际支出34.6万，执行力104.8%；延安精神研究会工作年初预算15万，实际支出15万，执行率100%；社科普及研究工作经费年初预算30万，实际完成29.66万，差额0.33万，执行力99%，产生差额主要要原因是由于政府采购发生额存在零头数字偏差所致。</w:t>
      </w:r>
    </w:p>
    <w:p>
      <w:p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市社科联2022年度社科应用研究课题资助及延安精神研究会工作这两项项目均已按进度足额完成支付。鄂州社科杂志指标也基本足额完成支付，就是政府采购指标存在零头差额，故存在0.1%的偏差未完成。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2" w:firstLineChars="200"/>
        <w:jc w:val="both"/>
        <w:rPr>
          <w:rFonts w:hint="eastAsia" w:ascii="仿宋_GB2312" w:hAnsi="宋体" w:eastAsia="仿宋_GB2312" w:cs="Times New Roman"/>
          <w:b w:val="0"/>
          <w:bCs w:val="0"/>
          <w:kern w:val="0"/>
          <w:sz w:val="32"/>
          <w:szCs w:val="32"/>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市社科联2023年</w:t>
      </w:r>
      <w:r>
        <w:rPr>
          <w:rFonts w:hint="eastAsia" w:ascii="仿宋" w:hAnsi="仿宋" w:eastAsia="仿宋" w:cs="仿宋"/>
          <w:b/>
          <w:bCs/>
          <w:i w:val="0"/>
          <w:caps w:val="0"/>
          <w:color w:val="333333"/>
          <w:spacing w:val="0"/>
          <w:sz w:val="32"/>
          <w:szCs w:val="32"/>
          <w:shd w:val="clear" w:color="auto" w:fill="FFFFFF"/>
          <w:lang w:eastAsia="zh-CN"/>
        </w:rPr>
        <w:t>项目支出共分五项：</w:t>
      </w:r>
      <w:r>
        <w:rPr>
          <w:rFonts w:hint="eastAsia" w:ascii="仿宋_GB2312" w:hAnsi="宋体" w:eastAsia="仿宋_GB2312" w:cs="Times New Roman"/>
          <w:b w:val="0"/>
          <w:bCs w:val="0"/>
          <w:kern w:val="0"/>
          <w:sz w:val="32"/>
          <w:szCs w:val="32"/>
          <w:lang w:val="en-US" w:eastAsia="zh-CN"/>
        </w:rPr>
        <w:t>扶持优势文旅产业发展（宣传文化事业）专项资金、社科普及研究工作经费、延安精神研究会工作、鄂州市社科界第三次代表大会会议费及社科联工作运行保障经费；其中扶持优势文旅产业发展（宣传文化事业）专项资金预算金额60万，实际支出49万，执行力82%；延安精神研究会工作年初预算15万，实际支出15万，执行率100%；社科普及研究工作经费年初预算30万，实际完成30万，执行力100%；鄂州市社科界第三次代表大会会议费年初预算10万，实际支出7万，执行率70%；社科联工作运行保障经费6万，实际支出6万，执行率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宋体" w:eastAsia="仿宋_GB2312" w:cs="Times New Roman"/>
          <w:b w:val="0"/>
          <w:bCs w:val="0"/>
          <w:kern w:val="0"/>
          <w:sz w:val="32"/>
          <w:szCs w:val="32"/>
          <w:lang w:val="en-US" w:eastAsia="zh-CN"/>
        </w:rPr>
      </w:pPr>
      <w:r>
        <w:rPr>
          <w:rFonts w:hint="eastAsia" w:ascii="仿宋_GB2312" w:hAnsi="宋体" w:eastAsia="仿宋_GB2312" w:cs="Times New Roman"/>
          <w:b w:val="0"/>
          <w:bCs w:val="0"/>
          <w:kern w:val="0"/>
          <w:sz w:val="32"/>
          <w:szCs w:val="32"/>
          <w:lang w:val="en-US" w:eastAsia="zh-CN"/>
        </w:rPr>
        <w:t>本年度部门主要成效：2023年，在市委、市政府的正确领导下，市社科联认真学习贯彻党的二十大精神，围绕中心，服务大局，创新思路，整合资源，彰显特色，大力推进社科联工作。经初报、审核、落实，各项绩效目标已全部完成，并将加强项目规划与绩效目标管理，完善项目分配办法和管理办法，加强项目管理。与各部门间就绩效工作、管理工作方面的沟通比以前多了，达到“发现问题、解决问题”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宋体" w:eastAsia="仿宋_GB2312" w:cs="Times New Roman"/>
          <w:b w:val="0"/>
          <w:bCs w:val="0"/>
          <w:kern w:val="0"/>
          <w:sz w:val="32"/>
          <w:szCs w:val="32"/>
          <w:lang w:val="en-US" w:eastAsia="zh-CN"/>
        </w:rPr>
      </w:pPr>
      <w:r>
        <w:rPr>
          <w:rFonts w:hint="eastAsia" w:ascii="仿宋_GB2312" w:hAnsi="宋体" w:eastAsia="仿宋_GB2312" w:cs="Times New Roman"/>
          <w:b w:val="0"/>
          <w:bCs w:val="0"/>
          <w:kern w:val="0"/>
          <w:sz w:val="32"/>
          <w:szCs w:val="32"/>
          <w:lang w:val="en-US" w:eastAsia="zh-CN"/>
        </w:rPr>
        <w:t>市社科联遵循公开、节简、完善的原则，做好项目经费的管理。公开透明使用项目经费，重大经费列支要经过社科联党组或机关扩大会议讨论；精简适用使用项目经费，严格按照规章制度办事，让每一笔经费都发挥出最大效益；完善项目经费的绩效目标和指标体系建设，围绕目标设定情况、目标完成程度、组织管理水平、实际效益、实际支出情况及财务资产管理等制订评价标准，规范项目经费的管理。并将绩效评价结果在鄂州社科联网站上进行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宋体" w:eastAsia="仿宋_GB2312" w:cs="Times New Roman"/>
          <w:b w:val="0"/>
          <w:bCs w:val="0"/>
          <w:kern w:val="0"/>
          <w:sz w:val="32"/>
          <w:szCs w:val="32"/>
          <w:lang w:val="en-US" w:eastAsia="zh-CN"/>
        </w:rPr>
      </w:pPr>
      <w:r>
        <w:rPr>
          <w:rFonts w:hint="eastAsia" w:ascii="仿宋_GB2312" w:hAnsi="宋体" w:eastAsia="仿宋_GB2312" w:cs="Times New Roman"/>
          <w:b w:val="0"/>
          <w:bCs w:val="0"/>
          <w:kern w:val="0"/>
          <w:sz w:val="32"/>
          <w:szCs w:val="32"/>
          <w:lang w:val="en-US" w:eastAsia="zh-CN"/>
        </w:rPr>
        <w:t>存在的突出问题：1、绩效评价方式简单，内容不够全面，相关数据和信息汇总利用不足。2、部门绩效评价自评报告质量不高，对问题的分析和改进建议不足。这些问题阻碍了绩效预算管理的有效实施和财政资金使用的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default" w:ascii="仿宋_GB2312" w:hAnsi="宋体" w:eastAsia="仿宋_GB2312" w:cs="Times New Roman"/>
          <w:b w:val="0"/>
          <w:bCs w:val="0"/>
          <w:kern w:val="0"/>
          <w:sz w:val="32"/>
          <w:szCs w:val="32"/>
          <w:lang w:val="en-US" w:eastAsia="zh-CN"/>
        </w:rPr>
      </w:pPr>
      <w:r>
        <w:rPr>
          <w:rFonts w:hint="eastAsia" w:ascii="仿宋_GB2312" w:hAnsi="宋体" w:eastAsia="仿宋_GB2312" w:cs="Times New Roman"/>
          <w:b w:val="0"/>
          <w:bCs w:val="0"/>
          <w:kern w:val="0"/>
          <w:sz w:val="32"/>
          <w:szCs w:val="32"/>
          <w:lang w:val="en-US" w:eastAsia="zh-CN"/>
        </w:rPr>
        <w:t>出现问题的主要原因：1、绩效指标缺乏科学性与全面性。2、考核指标过于笼统，缺乏合理的绩效考核方法。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pPr>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1、下一步拟</w:t>
      </w:r>
      <w:r>
        <w:rPr>
          <w:rFonts w:hint="eastAsia" w:ascii="仿宋_GB2312" w:eastAsia="仿宋_GB2312" w:cs="仿宋_GB2312"/>
          <w:sz w:val="32"/>
          <w:szCs w:val="32"/>
          <w:lang w:eastAsia="zh-CN"/>
        </w:rPr>
        <w:t>改进措施：</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一、</w:t>
      </w:r>
      <w:r>
        <w:rPr>
          <w:rFonts w:hint="default" w:ascii="仿宋_GB2312" w:eastAsia="仿宋_GB2312" w:cs="仿宋_GB2312"/>
          <w:sz w:val="32"/>
          <w:szCs w:val="32"/>
          <w:lang w:val="en-US" w:eastAsia="zh-CN"/>
        </w:rPr>
        <w:t>”</w:t>
      </w:r>
      <w:r>
        <w:rPr>
          <w:rFonts w:hint="eastAsia" w:ascii="仿宋_GB2312" w:eastAsia="仿宋_GB2312" w:cs="仿宋_GB2312"/>
          <w:sz w:val="32"/>
          <w:szCs w:val="32"/>
        </w:rPr>
        <w:t>量身定制”明确绩效管理方向</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部门整体支出绩效评价评分框架基础上，立足实际，设置具体部门整体支出评价的过程指标、产出指标、效果指标等的具体指标和评分权重，提高核心指标评分权重，对各项指标进行全面量化的评分，形成“一个部门一套指标”的评分标准。通过“量身定制”指标，部门进一步明确预算绩效管理的方向、重点及工作要求，促进部门预算绩效管理水平提升。</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二</w:t>
      </w:r>
      <w:r>
        <w:rPr>
          <w:rFonts w:hint="eastAsia" w:ascii="仿宋_GB2312" w:eastAsia="仿宋_GB2312" w:cs="仿宋_GB2312"/>
          <w:sz w:val="32"/>
          <w:szCs w:val="32"/>
        </w:rPr>
        <w:t>、“对症下药”促进提高履职效能</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对照部门职能、重点工作任务，年度工作计划，将部门职能、工作任务和重点项目串联起来，对部门近三年的重点项目进行系统梳理、归纳、总结，分析存在不足提出改进建议，“对症下药”重点解决部门在预算绩效管理中存在的“</w:t>
      </w:r>
      <w:r>
        <w:rPr>
          <w:rFonts w:hint="eastAsia" w:ascii="仿宋_GB2312" w:eastAsia="仿宋_GB2312" w:cs="仿宋_GB2312"/>
          <w:sz w:val="32"/>
          <w:szCs w:val="32"/>
          <w:lang w:eastAsia="zh-CN"/>
        </w:rPr>
        <w:t>应支尽支</w:t>
      </w:r>
      <w:r>
        <w:rPr>
          <w:rFonts w:hint="eastAsia" w:ascii="仿宋_GB2312" w:eastAsia="仿宋_GB2312" w:cs="仿宋_GB2312"/>
          <w:sz w:val="32"/>
          <w:szCs w:val="32"/>
        </w:rPr>
        <w:t>”等问题，促进提高部门履职效能。</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三</w:t>
      </w:r>
      <w:r>
        <w:rPr>
          <w:rFonts w:hint="eastAsia" w:ascii="仿宋_GB2312" w:eastAsia="仿宋_GB2312" w:cs="仿宋_GB2312"/>
          <w:sz w:val="32"/>
          <w:szCs w:val="32"/>
        </w:rPr>
        <w:t>、“强化约束”压实部门主体责任</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是认真梳理绩效评价报告扣分情况，以问题清单形式反馈被评价部门在资金使用和项目管理等方面存在的问题，明确整改时限和要求，并督促部门整改落实；二是将评价结果作为下一年度预算安排、完善政策和改进管理的重要依据；</w:t>
      </w:r>
      <w:r>
        <w:rPr>
          <w:rFonts w:hint="eastAsia" w:ascii="仿宋_GB2312" w:eastAsia="仿宋_GB2312" w:cs="仿宋_GB2312"/>
          <w:sz w:val="32"/>
          <w:szCs w:val="32"/>
          <w:lang w:eastAsia="zh-CN"/>
        </w:rPr>
        <w:t>三</w:t>
      </w:r>
      <w:r>
        <w:rPr>
          <w:rFonts w:hint="eastAsia" w:ascii="仿宋_GB2312" w:eastAsia="仿宋_GB2312" w:cs="仿宋_GB2312"/>
          <w:sz w:val="32"/>
          <w:szCs w:val="32"/>
        </w:rPr>
        <w:t>是按照政府预算绩效信息公开的有关要求，逐步推进绩效评价结果公开。</w:t>
      </w:r>
    </w:p>
    <w:p>
      <w:pPr>
        <w:numPr>
          <w:ilvl w:val="0"/>
          <w:numId w:val="3"/>
        </w:numPr>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拟于预算安排相结合情况</w:t>
      </w:r>
    </w:p>
    <w:p>
      <w:pPr>
        <w:numPr>
          <w:ilvl w:val="0"/>
          <w:numId w:val="0"/>
        </w:numPr>
        <w:ind w:firstLine="64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一是要设定绩效目标及指标完成情况，说明项目是否达到了预算申报的绩效目标，以及数量指标、质量指标、时效指标的完成情况，是否有有超过指标值等情况发生。</w:t>
      </w:r>
    </w:p>
    <w:p>
      <w:pPr>
        <w:numPr>
          <w:ilvl w:val="0"/>
          <w:numId w:val="0"/>
        </w:numPr>
        <w:ind w:firstLine="64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二是对照年初确定的绩效目标各项任务，加强项目和资金管理，确保资金使用合规合法，促进工作效率提高。</w:t>
      </w:r>
    </w:p>
    <w:p>
      <w:pPr>
        <w:numPr>
          <w:ilvl w:val="0"/>
          <w:numId w:val="0"/>
        </w:numPr>
        <w:ind w:firstLine="64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三是分析项目资金情况，包括资金是否按计划到位，专款专用、经费是否控制在预算范围内等。</w:t>
      </w:r>
    </w:p>
    <w:p>
      <w:pPr>
        <w:numPr>
          <w:ilvl w:val="0"/>
          <w:numId w:val="0"/>
        </w:numPr>
        <w:ind w:firstLine="64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四是总结项目完成情况，包括是否完成了年度工作要点和计划安排的任务，以及经费是否控制在预算范围内。</w:t>
      </w:r>
    </w:p>
    <w:p>
      <w:pPr>
        <w:numPr>
          <w:ilvl w:val="0"/>
          <w:numId w:val="0"/>
        </w:numPr>
        <w:ind w:firstLine="64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通过以上结构化的描述方式，清晰地展示绩效与预算安排相结合的具体情况和成果。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9958"/>
    <w:multiLevelType w:val="singleLevel"/>
    <w:tmpl w:val="CEFE9958"/>
    <w:lvl w:ilvl="0" w:tentative="0">
      <w:start w:val="1"/>
      <w:numFmt w:val="chineseCounting"/>
      <w:suff w:val="nothing"/>
      <w:lvlText w:val="（%1）"/>
      <w:lvlJc w:val="left"/>
      <w:rPr>
        <w:rFonts w:hint="eastAsia"/>
      </w:rPr>
    </w:lvl>
  </w:abstractNum>
  <w:abstractNum w:abstractNumId="1">
    <w:nsid w:val="EAE822E8"/>
    <w:multiLevelType w:val="singleLevel"/>
    <w:tmpl w:val="EAE822E8"/>
    <w:lvl w:ilvl="0" w:tentative="0">
      <w:start w:val="2"/>
      <w:numFmt w:val="decimal"/>
      <w:suff w:val="nothing"/>
      <w:lvlText w:val="%1、"/>
      <w:lvlJc w:val="left"/>
    </w:lvl>
  </w:abstractNum>
  <w:abstractNum w:abstractNumId="2">
    <w:nsid w:val="F85983D4"/>
    <w:multiLevelType w:val="singleLevel"/>
    <w:tmpl w:val="F85983D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8547CC6"/>
    <w:rsid w:val="2FF74153"/>
    <w:rsid w:val="4A1947CF"/>
    <w:rsid w:val="4ADEEE93"/>
    <w:rsid w:val="719F929E"/>
    <w:rsid w:val="77F3C6AB"/>
    <w:rsid w:val="B6E6E308"/>
    <w:rsid w:val="B6FC52B1"/>
    <w:rsid w:val="B7F5FECF"/>
    <w:rsid w:val="DFFFEDAA"/>
    <w:rsid w:val="E39BE080"/>
    <w:rsid w:val="E7F60FA9"/>
    <w:rsid w:val="EFBF55BA"/>
    <w:rsid w:val="EFEF8E83"/>
    <w:rsid w:val="F5EF8158"/>
    <w:rsid w:val="F67D1030"/>
    <w:rsid w:val="FBD7CF59"/>
    <w:rsid w:val="FEF09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greatwall</cp:lastModifiedBy>
  <dcterms:modified xsi:type="dcterms:W3CDTF">2024-04-29T15:48:31Z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