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8" w:afterLines="50" w:line="540" w:lineRule="exact"/>
        <w:ind w:left="0" w:leftChars="0" w:right="0" w:rightChars="0" w:firstLine="0" w:firstLineChars="0"/>
        <w:jc w:val="center"/>
        <w:textAlignment w:val="auto"/>
        <w:rPr>
          <w:rFonts w:hint="default" w:ascii="Times New Roman" w:hAnsi="Times New Roman" w:eastAsia="方正小标宋简体" w:cs="Times New Roman"/>
          <w:sz w:val="40"/>
          <w:szCs w:val="40"/>
        </w:rPr>
      </w:pPr>
      <w:bookmarkStart w:id="0" w:name="_GoBack"/>
      <w:r>
        <w:rPr>
          <w:rFonts w:hint="default" w:ascii="Times New Roman" w:hAnsi="Times New Roman" w:eastAsia="方正小标宋简体" w:cs="Times New Roman"/>
          <w:sz w:val="40"/>
          <w:szCs w:val="40"/>
        </w:rPr>
        <w:t>2022年度鄂州市社科应用研究课题结项名单</w:t>
      </w:r>
    </w:p>
    <w:bookmarkEnd w:id="0"/>
    <w:tbl>
      <w:tblPr>
        <w:tblStyle w:val="3"/>
        <w:tblW w:w="139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88"/>
        <w:gridCol w:w="6581"/>
        <w:gridCol w:w="2268"/>
        <w:gridCol w:w="1415"/>
        <w:gridCol w:w="2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6" w:hRule="atLeast"/>
        </w:trPr>
        <w:tc>
          <w:tcPr>
            <w:tcW w:w="13909" w:type="dxa"/>
            <w:gridSpan w:val="5"/>
            <w:tcBorders>
              <w:top w:val="nil"/>
              <w:left w:val="nil"/>
              <w:right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32"/>
                <w:szCs w:val="32"/>
                <w:u w:val="none"/>
                <w:lang w:val="en-US" w:eastAsia="zh-CN" w:bidi="ar"/>
              </w:rPr>
              <w:t>一、“鄂州智库”课题(9项）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0" w:hRule="atLeast"/>
        </w:trPr>
        <w:tc>
          <w:tcPr>
            <w:tcW w:w="88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等次</w:t>
            </w: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课  题  名  称</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申 报 单 位</w:t>
            </w:r>
          </w:p>
        </w:tc>
        <w:tc>
          <w:tcPr>
            <w:tcW w:w="141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负责人</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0" w:hRule="atLeast"/>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一等</w:t>
            </w: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对鄂州花湖机场打造国际一流航空货运枢纽的思考</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鄂州市人民政府办公室</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傅宝山</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9" w:hRule="atLeast"/>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楷体_GBK" w:cs="Times New Roman"/>
                <w:i w:val="0"/>
                <w:color w:val="000000"/>
                <w:sz w:val="24"/>
                <w:szCs w:val="24"/>
                <w:u w:val="none"/>
              </w:rPr>
            </w:pPr>
          </w:p>
        </w:tc>
        <w:tc>
          <w:tcPr>
            <w:tcW w:w="6581"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乘机而上   借机而飞   关于鄂州加快临空经济发展打造内陆开放新高地的路径思考</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鄂州市人民政府研究室</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万兴平</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季晓磊  胡威  谢圆圆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5" w:hRule="atLeast"/>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楷体_GBK" w:cs="Times New Roman"/>
                <w:i w:val="0"/>
                <w:color w:val="000000"/>
                <w:sz w:val="24"/>
                <w:szCs w:val="24"/>
                <w:u w:val="none"/>
              </w:rPr>
            </w:pP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鄂州2030年碳达峰的路径选择研究</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鄂州市发展和改革委员会</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王运平</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刘恒波  余金安</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周家日 </w:t>
            </w:r>
            <w:r>
              <w:rPr>
                <w:rFonts w:hint="eastAsia"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沈清  邵洵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0" w:hRule="atLeast"/>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二等</w:t>
            </w: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大力发展跨境电商   打造枢纽经济强引擎</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鄂州市委政策研究室</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邢振海</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陈俊芳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楷体_GBK" w:cs="Times New Roman"/>
                <w:i w:val="0"/>
                <w:color w:val="000000"/>
                <w:sz w:val="24"/>
                <w:szCs w:val="24"/>
                <w:u w:val="none"/>
              </w:rPr>
            </w:pP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强核 壮圈 兴城——加快发展鄂州临空经济的对策研究</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鄂州市委办公室</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吕小军</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王奎  胡君  田野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楷体_GBK" w:cs="Times New Roman"/>
                <w:i w:val="0"/>
                <w:color w:val="000000"/>
                <w:sz w:val="24"/>
                <w:szCs w:val="24"/>
                <w:u w:val="none"/>
              </w:rPr>
            </w:pP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武汉城市圈同城化核心区建设实施路径研究</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鄂州市发展和改革委员会</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夏立志</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刘恒波  任创创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楷体_GBK" w:cs="Times New Roman"/>
                <w:i w:val="0"/>
                <w:color w:val="000000"/>
                <w:sz w:val="24"/>
                <w:szCs w:val="24"/>
                <w:u w:val="none"/>
              </w:rPr>
            </w:pP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鄂州市打造国际一流航空货运枢纽政府对策研究</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鄂州市临空物流发展服务中心</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饶  晓</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金铭  胡炜  薛鹏</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刘洪宇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楷体_GBK" w:cs="Times New Roman"/>
                <w:i w:val="0"/>
                <w:color w:val="000000"/>
                <w:sz w:val="24"/>
                <w:szCs w:val="24"/>
                <w:u w:val="none"/>
              </w:rPr>
            </w:pP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“两区一枢纽”下全面推进鄂州城乡融合发展研究</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史  崴</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张纯  黄丽  吴晓婷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郭浩  马继卡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楷体_GBK" w:cs="Times New Roman"/>
                <w:i w:val="0"/>
                <w:color w:val="000000"/>
                <w:sz w:val="24"/>
                <w:szCs w:val="24"/>
                <w:u w:val="none"/>
              </w:rPr>
            </w:pPr>
          </w:p>
        </w:tc>
        <w:tc>
          <w:tcPr>
            <w:tcW w:w="6581"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深入推进我市农村集体产权制度改革的调查与思考</w:t>
            </w:r>
          </w:p>
        </w:tc>
        <w:tc>
          <w:tcPr>
            <w:tcW w:w="226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鄂州市人大机关</w:t>
            </w:r>
          </w:p>
        </w:tc>
        <w:tc>
          <w:tcPr>
            <w:tcW w:w="141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  军</w:t>
            </w:r>
          </w:p>
        </w:tc>
        <w:tc>
          <w:tcPr>
            <w:tcW w:w="2757" w:type="dxa"/>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bl>
    <w:p>
      <w:pP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br w:type="page"/>
      </w:r>
    </w:p>
    <w:tbl>
      <w:tblPr>
        <w:tblStyle w:val="3"/>
        <w:tblW w:w="142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88"/>
        <w:gridCol w:w="5619"/>
        <w:gridCol w:w="2555"/>
        <w:gridCol w:w="1014"/>
        <w:gridCol w:w="4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jc w:val="center"/>
        </w:trPr>
        <w:tc>
          <w:tcPr>
            <w:tcW w:w="14281" w:type="dxa"/>
            <w:gridSpan w:val="5"/>
            <w:tcBorders>
              <w:top w:val="nil"/>
              <w:left w:val="nil"/>
              <w:right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32"/>
                <w:szCs w:val="32"/>
                <w:u w:val="none"/>
                <w:lang w:val="en-US" w:eastAsia="zh-CN" w:bidi="ar"/>
              </w:rPr>
              <w:t>二、指导性课题（54项）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等次</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课  题  名  称</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申 报 单 位</w:t>
            </w:r>
          </w:p>
        </w:tc>
        <w:tc>
          <w:tcPr>
            <w:tcW w:w="1014"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负责人</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一等</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鄂州花湖机场客货运航线相关研究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鄂州市人民政府办公室</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刘绪武</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刘国平  葛怀海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同城化视角下的鄂州光电子信息产业集群培育研究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鄂州市委政策研究室</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何海锋</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花湖机场投运下物流金融体系构建研究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中国人民银行鄂州市中心支行</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  峰</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杨钊  陈敬喜  陈宾  肖琰 邵雅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李东霞  程菲  肖瑶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提升城市能级   促进鄂州高质量发展</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鄂州市委党校</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余驰翔</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周国平  李娟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鄂州市要素市场化配置改革研究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鄂州市发展和改革委员会</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  川</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刘恒波  刘扬波  程金山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打造武汉城市圈“后花园”研究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鄂州市委办公室</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范礼想</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邵立春  曾军  许云开  郑辉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关于鄂州城市有机更新的调研思考</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鄂州市人民政府研究室</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  勇</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谢地  张跃东  伍煜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鄂州市武昌鱼产业链发展问题研究</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鄂州市财政局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严建国</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熊杰  李俊  涂绮雯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乡村振兴背景下“数商兴农”发展策略研究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李雪霞</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廖广平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轻形重实：破产企业不动产处置程序的反思与构建</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鄂州市中级人民法院</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刘岳鹏</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李思  湛少鹏  柯君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等次</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课  题  名  称</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申 报 单 位</w:t>
            </w:r>
          </w:p>
        </w:tc>
        <w:tc>
          <w:tcPr>
            <w:tcW w:w="1014"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负责人</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3" w:hRule="atLeast"/>
          <w:jc w:val="center"/>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二等</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以基层党建引领基层治理的鄂州实践对策研究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霍  瑛</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张建明  周鹏  韩婷婷  童晓鹏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赵雄松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3"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鄂州市流域水生态环境与经济社会协调发展战略研究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鄂州市生态环境局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雷雨坤</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陈晓飞  田媛  汪媛  彭天蔚</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刘石军  万晶  秦双  张小芳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鄂州临空经济区产业生态化发展研究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  曼</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赵明明  李璐  余晓辉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5"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构建教育高质量发展共同体   助推“两区一枢纽”建设</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鄂州市教育局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范先机</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范玉姣 蔡兴红 戴祝志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新冠肺炎疫情常态化防控期间鄂州市卫生机构实验室生物安全管理现状及应对措施</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鄂州市卫生健康委员会</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万福尧</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付小强  孙强  伍建胜  陈敬义</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廖学舟  夏小云  秦艺  陈先梅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基于乡村振兴战略下的鄂州市农产品物流发展研究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吴红丽</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工业4.0背景下的鄂州市中等职业教育的现状及思考</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周淑茹</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汪远文  王冬林  罗保川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鄂州“梁子湖——长港——樊口——西山”文旅资源整合及旅游线规划建设研究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鄂州市委宣传部</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庞良君</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乡村振兴背景下鄂州乡村人才队伍建设的思考</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鄂州市人民政府办公室</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曹  晖</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周宗泉  邱倩  葛军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农村大龄男青年婚恋难问题的症结成因和对策刍议</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鄂州市档案馆</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刘国安</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关于完善鄂州市创新体系的对策研究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鄂州市科学技术局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  超</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杨伟志  饶伟  </w:t>
            </w:r>
            <w:r>
              <w:rPr>
                <w:rFonts w:hint="eastAsia" w:ascii="仿宋_GB2312" w:hAnsi="仿宋_GB2312" w:eastAsia="仿宋_GB2312" w:cs="仿宋_GB2312"/>
                <w:i w:val="0"/>
                <w:color w:val="000000"/>
                <w:kern w:val="0"/>
                <w:sz w:val="24"/>
                <w:szCs w:val="24"/>
                <w:u w:val="none"/>
                <w:lang w:val="en-US" w:eastAsia="zh-CN" w:bidi="ar"/>
              </w:rPr>
              <w:t>吴建新  龙</w:t>
            </w:r>
            <w:r>
              <w:rPr>
                <w:rStyle w:val="5"/>
                <w:rFonts w:hint="eastAsia" w:ascii="仿宋_GB2312" w:hAnsi="仿宋_GB2312" w:eastAsia="仿宋_GB2312" w:cs="仿宋_GB2312"/>
                <w:sz w:val="24"/>
                <w:szCs w:val="24"/>
                <w:lang w:val="en-US" w:eastAsia="zh-CN" w:bidi="ar"/>
              </w:rPr>
              <w:t>徳</w:t>
            </w:r>
            <w:r>
              <w:rPr>
                <w:rStyle w:val="6"/>
                <w:rFonts w:hint="eastAsia" w:ascii="仿宋_GB2312" w:hAnsi="仿宋_GB2312" w:eastAsia="仿宋_GB2312" w:cs="仿宋_GB2312"/>
                <w:sz w:val="24"/>
                <w:szCs w:val="24"/>
                <w:lang w:val="en-US" w:eastAsia="zh-CN" w:bidi="ar"/>
              </w:rPr>
              <w:t>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等次</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课  题  名  称</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申 报 单 位</w:t>
            </w:r>
          </w:p>
        </w:tc>
        <w:tc>
          <w:tcPr>
            <w:tcW w:w="1014"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负责人</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0" w:hRule="atLeast"/>
          <w:jc w:val="center"/>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二等</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鄂州城市能级提升路径探索</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笱永莉</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金丽娟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0"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推进农村电商助力乡村振兴的探索与思考</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鄂州市供销社</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胡钟文</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张相华  孙群  严</w:t>
            </w:r>
            <w:r>
              <w:rPr>
                <w:rStyle w:val="5"/>
                <w:rFonts w:hint="eastAsia" w:asciiTheme="majorEastAsia" w:hAnsiTheme="majorEastAsia" w:eastAsiaTheme="majorEastAsia" w:cstheme="majorEastAsia"/>
                <w:sz w:val="24"/>
                <w:szCs w:val="24"/>
                <w:lang w:val="en-US" w:eastAsia="zh-CN" w:bidi="ar"/>
              </w:rPr>
              <w:t>姮</w:t>
            </w:r>
            <w:r>
              <w:rPr>
                <w:rStyle w:val="6"/>
                <w:rFonts w:hint="eastAsia" w:asciiTheme="majorEastAsia" w:hAnsiTheme="majorEastAsia" w:eastAsiaTheme="majorEastAsia" w:cstheme="majorEastAsia"/>
                <w:sz w:val="24"/>
                <w:szCs w:val="24"/>
                <w:lang w:val="en-US" w:eastAsia="zh-CN" w:bidi="ar"/>
              </w:rPr>
              <w:t xml:space="preserve"> </w:t>
            </w:r>
            <w:r>
              <w:rPr>
                <w:rStyle w:val="6"/>
                <w:rFonts w:hint="default" w:ascii="Times New Roman" w:hAnsi="Times New Roman" w:cs="Times New Roman"/>
                <w:sz w:val="24"/>
                <w:szCs w:val="24"/>
                <w:lang w:val="en-US" w:eastAsia="zh-CN" w:bidi="ar"/>
              </w:rPr>
              <w:t xml:space="preserve"> 黄振兴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0"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清廉法院建设的内涵、难点及对策研究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鄂州市中级人民法院</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吕云山</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刘霁萱  陈梦馨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依托花湖机场打造鄂州三江港多式联运示范基地的对策研究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熊晓丽</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谢智芳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jc w:val="center"/>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三等</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鄂州工业旅游发展研究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金丽娟</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卫扬勇  吴海棠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全面推进乡村振兴加快鄂州城乡融合高质量发展对策研究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鄂州市委农办</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柯云华</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梁光顺  余庆军  张盼望  杜森瑶</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何心蓉  吴江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0"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积极应对人口老龄化背景下健全养老服务体系研究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鄂州市民政局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刘为民</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王建新  赵普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鄂州市深化一流营商环境建设路径研究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鄂州市发展和改革委员会</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程金山</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刘恒波  刘扬波 陈刚  何川  刘逸灵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坚持武鄂科技同兴   高标准建设光谷科技创新大走廊鄂州功能区</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鄂州市科学技术局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饶  伟</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宋文俊  吴建新 </w:t>
            </w:r>
            <w:r>
              <w:rPr>
                <w:rFonts w:hint="eastAsia"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刘光辉  张鲜  杨昭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2"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打造鄂州群众文化“三大”品牌的调研报告</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鄂州市群众艺术馆</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杨卫平</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周克斌  王锦芳  沈萌  汪亦豪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新时代律师行业党建工作引领行业建设新局面——以鄂州市为例</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鄂州市司法局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李建文</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洪利民  汪文涛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等次</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课  题  名  称</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申 报 单 位</w:t>
            </w:r>
          </w:p>
        </w:tc>
        <w:tc>
          <w:tcPr>
            <w:tcW w:w="1014"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负责人</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3" w:hRule="atLeast"/>
          <w:jc w:val="center"/>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三等</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关于我市智慧社区建设的调研与思考</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鄂州市委办公室</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吴小洲</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裴强  熊宇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乡村振兴战略下以智慧云平台构建防止返贫长效机制的探索与思考——以鄂州市为例</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鄂州市乡村振兴局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琳</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张相华  张倩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推动鄂州食品安全高水平治理的思考</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鄂州市市场监督管理局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  文</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汪军  邓传文  艾辉  钟卫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5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国际一流航空货运枢纽的建设初探——基于花湖机场带给鄂州市跨境电商的市场机会</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防</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陈乐轩  黄丽 邵洵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打造东梁子湖美丽乡村连片示范区路径探究</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鄂州市财政局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胡茨芬</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徐建新  刘</w:t>
            </w:r>
            <w:r>
              <w:rPr>
                <w:rStyle w:val="5"/>
                <w:rFonts w:hint="default" w:ascii="Times New Roman" w:hAnsi="Times New Roman" w:cs="Times New Roman"/>
                <w:sz w:val="24"/>
                <w:szCs w:val="24"/>
                <w:lang w:val="en-US" w:eastAsia="zh-CN" w:bidi="ar"/>
              </w:rPr>
              <w:t>赟</w:t>
            </w:r>
            <w:r>
              <w:rPr>
                <w:rStyle w:val="6"/>
                <w:rFonts w:hint="default" w:ascii="Times New Roman" w:hAnsi="Times New Roman" w:cs="Times New Roman"/>
                <w:sz w:val="24"/>
                <w:szCs w:val="24"/>
                <w:lang w:val="en-US" w:eastAsia="zh-CN" w:bidi="ar"/>
              </w:rPr>
              <w:t xml:space="preserve">  熊杰  周慰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新冠疫情下的城市社区治理问题对策研究---以鄂州市为例</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鄂州市人民政府办公室</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  宇</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鄂州航空港对区域经济增长效应及实现路径研究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吴秋平</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蒋莎  吴海棠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以思想破冰引领营商环境优化</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鄂城区委宣传部</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夏双文</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丁元中  饶黎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9"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鄂州市创建全国文明典范城市路径的思考</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鄂州市住房和城乡建设局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周承水</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周文</w:t>
            </w:r>
            <w:r>
              <w:rPr>
                <w:rStyle w:val="5"/>
                <w:rFonts w:hint="default" w:ascii="Times New Roman" w:hAnsi="Times New Roman" w:cs="Times New Roman"/>
                <w:sz w:val="24"/>
                <w:szCs w:val="24"/>
                <w:lang w:val="en-US" w:eastAsia="zh-CN" w:bidi="ar"/>
              </w:rPr>
              <w:t>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6"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做强特色旅游品牌   打造鄂州乡村振兴新引擎</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鄂州市政协机关</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郭晓春</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彭友均  周智菲  蔡司晨  张海涛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3"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社会组织参与乡村振兴路径研究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鄂州市民政局</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余建兵</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管文瀚  陈心源  刘梦诗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 w:hRule="atLeast"/>
          <w:jc w:val="center"/>
        </w:trPr>
        <w:tc>
          <w:tcPr>
            <w:tcW w:w="888"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等次</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课  题  名  称</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申 报 单 位</w:t>
            </w:r>
          </w:p>
        </w:tc>
        <w:tc>
          <w:tcPr>
            <w:tcW w:w="1014"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负责人</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9" w:hRule="atLeast"/>
          <w:jc w:val="center"/>
        </w:trPr>
        <w:tc>
          <w:tcPr>
            <w:tcW w:w="888" w:type="dxa"/>
            <w:vMerge w:val="restart"/>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三等</w:t>
            </w: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职业教育助力鄂州乡村振兴战略的策略研究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  莎</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8"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鄂州市以城带乡、以工促农的城乡融合发展途径及对策研究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宋亚林</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程良珍  周舟  朱立文  胡杏武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8"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互联网+医养结合模式下鄂州市养老服务体系的实践研究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鄂州市中心医院</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姜海燕</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张莹  赵辉  涂海燕  汪迎春  秦怡</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方思聪  李鑫  汪艳霞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8"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以基本公共服务一体化加快武汉都市圈协同发展</w:t>
            </w:r>
          </w:p>
        </w:tc>
        <w:tc>
          <w:tcPr>
            <w:tcW w:w="255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鄂州市政协机关</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吴建华</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汪加强  刘华宇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8"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降低我市医保资金使用对策--以老年人脆性骨折的预防研究为例</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鄂州市中心医院</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  丽</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熊娜  李坤 喻锋 王晶 程俊 王娟燕</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陈志龙  徐燕  王三娥  王维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8"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健康中国视域下老年护理专科人才培养体系构建与实战</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鄂州市中心医院</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余利娜</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林影影  张莹  熊珊  赵丽芹 严颖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刘敏  孟世芳  张红梅  李宏芸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鄂州深化绿色发展生态文明建设新路径对策研究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  鹏</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新冠疫情背景下鄂州市基层社区治理对策研究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蔡仲儒</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谈寂  胡瑶  何莉  洪佳平  杨波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高职院校在乡村振兴战略中的工作机制研究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刘学文</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何青  黄丽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鄂州市超低能耗建筑发展研究</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王晓强</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胡德灿  黄鑫  蔡志辉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88" w:type="dxa"/>
            <w:vMerge w:val="continue"/>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楷体_GBK" w:cs="Times New Roman"/>
                <w:i w:val="0"/>
                <w:color w:val="000000"/>
                <w:sz w:val="24"/>
                <w:szCs w:val="24"/>
                <w:u w:val="none"/>
              </w:rPr>
            </w:pPr>
          </w:p>
        </w:tc>
        <w:tc>
          <w:tcPr>
            <w:tcW w:w="5619" w:type="dxa"/>
            <w:tcBorders>
              <w:tl2br w:val="nil"/>
              <w:tr2bl w:val="nil"/>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鄂州市红色文化教育基地情况调查</w:t>
            </w:r>
          </w:p>
        </w:tc>
        <w:tc>
          <w:tcPr>
            <w:tcW w:w="2555"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鄂州市博物馆</w:t>
            </w:r>
          </w:p>
        </w:tc>
        <w:tc>
          <w:tcPr>
            <w:tcW w:w="1014" w:type="dxa"/>
            <w:tcBorders>
              <w:tl2br w:val="nil"/>
              <w:tr2bl w:val="nil"/>
            </w:tcBorders>
            <w:shd w:val="clear" w:color="auto" w:fill="auto"/>
            <w:noWrap/>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邓诗剑</w:t>
            </w:r>
          </w:p>
        </w:tc>
        <w:tc>
          <w:tcPr>
            <w:tcW w:w="4205" w:type="dxa"/>
            <w:tcBorders>
              <w:tl2br w:val="nil"/>
              <w:tr2bl w:val="nil"/>
            </w:tcBorders>
            <w:shd w:val="clear" w:color="auto" w:fill="auto"/>
            <w:tcMar>
              <w:top w:w="11" w:type="dxa"/>
              <w:left w:w="11" w:type="dxa"/>
              <w:right w:w="11"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bl>
    <w:p>
      <w:pPr>
        <w:rPr>
          <w:rFonts w:hint="default" w:ascii="Times New Roman" w:hAnsi="Times New Roman" w:eastAsia="方正小标宋简体" w:cs="Times New Roman"/>
          <w:sz w:val="40"/>
          <w:szCs w:val="40"/>
        </w:rPr>
        <w:sectPr>
          <w:pgSz w:w="16838" w:h="11906" w:orient="landscape"/>
          <w:pgMar w:top="1587" w:right="1474" w:bottom="1474" w:left="1474" w:header="851" w:footer="1474" w:gutter="0"/>
          <w:pgBorders>
            <w:top w:val="none" w:sz="0" w:space="0"/>
            <w:left w:val="none" w:sz="0" w:space="0"/>
            <w:bottom w:val="none" w:sz="0" w:space="0"/>
            <w:right w:val="none" w:sz="0" w:space="0"/>
          </w:pgBorders>
          <w:pgNumType w:fmt="numberInDash"/>
          <w:cols w:space="0" w:num="1"/>
          <w:rtlGutter w:val="0"/>
          <w:docGrid w:type="lines" w:linePitch="314" w:charSpace="0"/>
        </w:sectPr>
      </w:pPr>
      <w:r>
        <w:rPr>
          <w:rFonts w:hint="default" w:ascii="Times New Roman" w:hAnsi="Times New Roman" w:eastAsia="方正小标宋简体" w:cs="Times New Roman"/>
          <w:sz w:val="40"/>
          <w:szCs w:val="40"/>
        </w:rPr>
        <w:br w:type="page"/>
      </w:r>
    </w:p>
    <w:tbl>
      <w:tblPr>
        <w:tblStyle w:val="3"/>
        <w:tblW w:w="13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84"/>
        <w:gridCol w:w="6464"/>
        <w:gridCol w:w="2092"/>
        <w:gridCol w:w="1173"/>
        <w:gridCol w:w="3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rPr>
        <w:tc>
          <w:tcPr>
            <w:tcW w:w="13888" w:type="dxa"/>
            <w:gridSpan w:val="5"/>
            <w:tcBorders>
              <w:top w:val="nil"/>
              <w:left w:val="nil"/>
              <w:right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32"/>
                <w:szCs w:val="32"/>
                <w:u w:val="none"/>
                <w:lang w:val="en-US" w:eastAsia="zh-CN" w:bidi="ar"/>
              </w:rPr>
              <w:t>三、一般性课题(33项）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4"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课  题  名  称</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申 报 单 位</w:t>
            </w:r>
          </w:p>
        </w:tc>
        <w:tc>
          <w:tcPr>
            <w:tcW w:w="1173"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负责人</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文化助力乡村振兴路径研究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鄂州市委党校</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沈凤蛟</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邓江明 </w:t>
            </w:r>
            <w:r>
              <w:rPr>
                <w:rFonts w:hint="eastAsia"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 xml:space="preserve">闻新国 </w:t>
            </w:r>
            <w:r>
              <w:rPr>
                <w:rFonts w:hint="eastAsia"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曹蕾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鄂州武昌鱼文化品牌创新的价值目标与路径选择</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  婷</w:t>
            </w:r>
          </w:p>
        </w:tc>
        <w:tc>
          <w:tcPr>
            <w:tcW w:w="3575" w:type="dxa"/>
            <w:tcBorders>
              <w:tl2br w:val="nil"/>
              <w:tr2bl w:val="nil"/>
            </w:tcBorders>
            <w:shd w:val="clear" w:color="auto" w:fill="auto"/>
            <w:noWrap/>
            <w:tcMar>
              <w:top w:w="11" w:type="dxa"/>
              <w:left w:w="11" w:type="dxa"/>
              <w:right w:w="11"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新医改政策下鄂州市基层卫生院基本公共卫生服务解决方案探讨</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吴世成</w:t>
            </w:r>
          </w:p>
        </w:tc>
        <w:tc>
          <w:tcPr>
            <w:tcW w:w="3575" w:type="dxa"/>
            <w:tcBorders>
              <w:tl2br w:val="nil"/>
              <w:tr2bl w:val="nil"/>
            </w:tcBorders>
            <w:shd w:val="clear" w:color="auto" w:fill="auto"/>
            <w:noWrap/>
            <w:tcMar>
              <w:top w:w="11" w:type="dxa"/>
              <w:left w:w="11" w:type="dxa"/>
              <w:right w:w="11"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鄂州旅游文创衍生品设计与开发策略——以鄂州市文化旅游体育商品创意设计大赛获奖作品为研究对象</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张馨心</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何娴  刘岳鹏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县域农产品在电商产业集群模式下发展的新思路——以鄂州为例</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吴艳萍</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熊小霞 朱亚平  王涛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鄂州市0-3岁婴幼儿托育早教服务体系建设研究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南利君</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肖开勇  邬琳娜 吴秋平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基于SIPS模式的短视频平台鄂州城市文化形象的建构与传播</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吴晓婷</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熊裕春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鄂城区申报“中国民间文化艺术之乡（鄂州剪纸）”研究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舒德进</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茅芮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高校从严治党与信息化深度融合研究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  莉</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任红军  占凡华 何娴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乡村振兴背景下“互联网+农村电商”精准扶贫的实践路径研究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  娴</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张馨心  钟宇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鄂州市创建“全国文明典范城市”过程中的工程建设项目成本控制研究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  微</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林晶 肖一夫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鄂州市家庭、幼儿园、社区三方育儿模式的探讨</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  听</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卫扬勇  翁燕  谢谛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4"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课  题  名  称</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申 报 单 位</w:t>
            </w:r>
          </w:p>
        </w:tc>
        <w:tc>
          <w:tcPr>
            <w:tcW w:w="1173"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负责人</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9"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航空都市背景下鄂州城市形象网络跨文化传播策略研究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陶修宁</w:t>
            </w:r>
          </w:p>
        </w:tc>
        <w:tc>
          <w:tcPr>
            <w:tcW w:w="3575" w:type="dxa"/>
            <w:tcBorders>
              <w:tl2br w:val="nil"/>
              <w:tr2bl w:val="nil"/>
            </w:tcBorders>
            <w:shd w:val="clear" w:color="auto" w:fill="auto"/>
            <w:noWrap/>
            <w:tcMar>
              <w:top w:w="11" w:type="dxa"/>
              <w:left w:w="11" w:type="dxa"/>
              <w:right w:w="11"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城乡融合发展背景下校地合作培养乡村人才路径的探索与思考</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鄂州市乡村振兴局</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田守义</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张相华 柯巧巧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9"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鄂州城乡融合发展新模式对策研究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甘  斌</w:t>
            </w:r>
          </w:p>
        </w:tc>
        <w:tc>
          <w:tcPr>
            <w:tcW w:w="3575" w:type="dxa"/>
            <w:tcBorders>
              <w:tl2br w:val="nil"/>
              <w:tr2bl w:val="nil"/>
            </w:tcBorders>
            <w:shd w:val="clear" w:color="auto" w:fill="auto"/>
            <w:noWrap/>
            <w:tcMar>
              <w:top w:w="11" w:type="dxa"/>
              <w:left w:w="11" w:type="dxa"/>
              <w:right w:w="11"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铜镜文化融入高职校园文化建设的实施路径研究——以鄂州职业大学为例</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陈中林</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陈艳  邱风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关于常态化疫情影响下鄂州青年就业问题研究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王景秋</w:t>
            </w:r>
          </w:p>
        </w:tc>
        <w:tc>
          <w:tcPr>
            <w:tcW w:w="3575" w:type="dxa"/>
            <w:tcBorders>
              <w:tl2br w:val="nil"/>
              <w:tr2bl w:val="nil"/>
            </w:tcBorders>
            <w:shd w:val="clear" w:color="auto" w:fill="auto"/>
            <w:noWrap/>
            <w:tcMar>
              <w:top w:w="11" w:type="dxa"/>
              <w:left w:w="11" w:type="dxa"/>
              <w:right w:w="11"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以自我革命精神扎实推进“三问三治三提升”</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鄂州市委党校</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季  慧</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邓福兵  黄琦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1"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鄂州乡土文化教育在大学课堂的开发及实施研究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适</w:t>
            </w:r>
          </w:p>
        </w:tc>
        <w:tc>
          <w:tcPr>
            <w:tcW w:w="3575"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严巧云  周淑茹  熊汉锋</w:t>
            </w:r>
          </w:p>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吴丽芳  张靖鸣  熊学敏  蒋莎</w:t>
            </w:r>
          </w:p>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王晓辉  万珂雯  胡钰清  漆盈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大中小学思政课一体化建设实施路径的思考</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黄治勇</w:t>
            </w:r>
          </w:p>
        </w:tc>
        <w:tc>
          <w:tcPr>
            <w:tcW w:w="3575"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王萍  洪利花  洪佳平  程群英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以高质量法律监督工作服务保障鄂州临空经济区建设</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鄂州市人民检察院</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  锋</w:t>
            </w:r>
          </w:p>
        </w:tc>
        <w:tc>
          <w:tcPr>
            <w:tcW w:w="3575" w:type="dxa"/>
            <w:tcBorders>
              <w:tl2br w:val="nil"/>
              <w:tr2bl w:val="nil"/>
            </w:tcBorders>
            <w:shd w:val="clear" w:color="auto" w:fill="auto"/>
            <w:noWrap/>
            <w:tcMar>
              <w:top w:w="11" w:type="dxa"/>
              <w:left w:w="11" w:type="dxa"/>
              <w:right w:w="11"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浅析高效运用人居环境整治专项资金助力乡村振兴</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鄂州市审计局</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  宇</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范金双  余章友  黄灿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乡村振兴战略下职业教育助力农村医疗卫生事业发展的研究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李冬姣</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吴锁连  刘丽明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基于高校人工智能诊断服务推动“两区一枢纽”产业升级</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  蕊</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游洋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5"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课  题  名  称</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申 报 单 位</w:t>
            </w:r>
          </w:p>
        </w:tc>
        <w:tc>
          <w:tcPr>
            <w:tcW w:w="1173"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负责人</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抓住创典契机 提升管理水平 构建社会治理新格局</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鄂城区城市文明</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创建中心</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谈  尚</w:t>
            </w:r>
          </w:p>
        </w:tc>
        <w:tc>
          <w:tcPr>
            <w:tcW w:w="3575" w:type="dxa"/>
            <w:tcBorders>
              <w:tl2br w:val="nil"/>
              <w:tr2bl w:val="nil"/>
            </w:tcBorders>
            <w:shd w:val="clear" w:color="auto" w:fill="auto"/>
            <w:noWrap/>
            <w:tcMar>
              <w:top w:w="11" w:type="dxa"/>
              <w:left w:w="11" w:type="dxa"/>
              <w:right w:w="11" w:type="dxa"/>
            </w:tcMar>
            <w:vAlign w:val="center"/>
          </w:tcPr>
          <w:p>
            <w:pPr>
              <w:ind w:left="0" w:leftChars="0" w:right="0" w:rightChars="0" w:firstLine="0" w:firstLineChars="0"/>
              <w:jc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3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新型基层治理格局下的社会健康服务模式探讨</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鄂州市中心医院</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  莉</w:t>
            </w:r>
          </w:p>
        </w:tc>
        <w:tc>
          <w:tcPr>
            <w:tcW w:w="3575"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霍淑平  范志红  赵辉  胡敦全 洪爱霞  韩春香  胡冬  胡娜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9"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鄂州市休闲农业与乡村旅游融合发展研究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  沁</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夏晓玲  夏聪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航空都市建设中校园航空文化建设探究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邱诗怡</w:t>
            </w:r>
          </w:p>
        </w:tc>
        <w:tc>
          <w:tcPr>
            <w:tcW w:w="3575"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汪建立  郑敏  孔冬莲</w:t>
            </w:r>
          </w:p>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高铭远  张</w:t>
            </w:r>
            <w:r>
              <w:rPr>
                <w:rStyle w:val="7"/>
                <w:rFonts w:hint="default" w:ascii="Times New Roman" w:hAnsi="Times New Roman" w:cs="Times New Roman"/>
                <w:sz w:val="24"/>
                <w:szCs w:val="24"/>
                <w:lang w:val="en-US" w:eastAsia="zh-CN" w:bidi="ar"/>
              </w:rPr>
              <w:t>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元宇宙下的智慧城市</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潘勇刚</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邹良材  邹蕊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依托货运机场 加快农产品电商发展 助力鄂州两城一枢纽建设</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邵  洵</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徐冰  李平  王运平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全民核酸标本暂存、交接转运的调研与优化方案探索</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鄂州市中心医院</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汪玉亭</w:t>
            </w:r>
          </w:p>
        </w:tc>
        <w:tc>
          <w:tcPr>
            <w:tcW w:w="3575"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汤彪  刘珍珍  黄秋菊</w:t>
            </w:r>
          </w:p>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杨春花</w:t>
            </w:r>
            <w:r>
              <w:rPr>
                <w:rFonts w:hint="eastAsia"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尹雪梅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高职院校学生“空心病”研究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朱晓静</w:t>
            </w:r>
          </w:p>
        </w:tc>
        <w:tc>
          <w:tcPr>
            <w:tcW w:w="3575"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陈永红  张炎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84"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6464"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地方高职院校德育与心理健康教育协同育人机制研究</w:t>
            </w:r>
          </w:p>
        </w:tc>
        <w:tc>
          <w:tcPr>
            <w:tcW w:w="2092"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鄂州职业大学</w:t>
            </w:r>
          </w:p>
        </w:tc>
        <w:tc>
          <w:tcPr>
            <w:tcW w:w="1173" w:type="dxa"/>
            <w:tcBorders>
              <w:tl2br w:val="nil"/>
              <w:tr2bl w:val="nil"/>
            </w:tcBorders>
            <w:shd w:val="clear" w:color="auto" w:fill="auto"/>
            <w:noWrap/>
            <w:tcMar>
              <w:top w:w="11" w:type="dxa"/>
              <w:left w:w="11" w:type="dxa"/>
              <w:right w:w="11"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桂  捷</w:t>
            </w:r>
          </w:p>
        </w:tc>
        <w:tc>
          <w:tcPr>
            <w:tcW w:w="3575" w:type="dxa"/>
            <w:tcBorders>
              <w:tl2br w:val="nil"/>
              <w:tr2bl w:val="nil"/>
            </w:tcBorders>
            <w:shd w:val="clear" w:color="auto" w:fill="auto"/>
            <w:tcMar>
              <w:top w:w="11" w:type="dxa"/>
              <w:left w:w="11" w:type="dxa"/>
              <w:right w:w="11" w:type="dxa"/>
            </w:tcMar>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张柳  邵洵  肖锦龙  潘宏友</w:t>
            </w:r>
          </w:p>
        </w:tc>
      </w:tr>
    </w:tbl>
    <w:p>
      <w:pPr>
        <w:rPr>
          <w:rFonts w:hint="default" w:ascii="Times New Roman" w:hAnsi="Times New Roman" w:eastAsia="仿宋_GB2312" w:cs="Times New Roman"/>
          <w:i w:val="0"/>
          <w:color w:val="000000"/>
          <w:spacing w:val="0"/>
          <w:sz w:val="32"/>
          <w:szCs w:val="32"/>
          <w:lang w:val="en-US" w:eastAsia="zh-CN"/>
        </w:rPr>
        <w:sectPr>
          <w:footerReference r:id="rId3" w:type="default"/>
          <w:pgSz w:w="16838" w:h="11906" w:orient="landscape"/>
          <w:pgMar w:top="1587" w:right="1701" w:bottom="1587" w:left="1701" w:header="851" w:footer="1417" w:gutter="0"/>
          <w:pgBorders>
            <w:top w:val="none" w:sz="0" w:space="0"/>
            <w:left w:val="none" w:sz="0" w:space="0"/>
            <w:bottom w:val="none" w:sz="0" w:space="0"/>
            <w:right w:val="none" w:sz="0" w:space="0"/>
          </w:pgBorders>
          <w:pgNumType w:fmt="numberInDash"/>
          <w:cols w:space="0" w:num="1"/>
          <w:rtlGutter w:val="0"/>
          <w:docGrid w:type="lines" w:linePitch="447" w:charSpace="0"/>
        </w:sectPr>
      </w:pPr>
      <w:r>
        <w:rPr>
          <w:rFonts w:hint="default" w:ascii="Times New Roman" w:hAnsi="Times New Roman" w:eastAsia="仿宋_GB2312" w:cs="Times New Roman"/>
          <w:i w:val="0"/>
          <w:color w:val="000000"/>
          <w:spacing w:val="0"/>
          <w:sz w:val="32"/>
          <w:szCs w:val="32"/>
          <w:lang w:val="en-US"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zAwM2YzOWZjNjRjZmNhMTJkNzFlYWY4NzgzM2YifQ=="/>
  </w:docVars>
  <w:rsids>
    <w:rsidRoot w:val="1B053407"/>
    <w:rsid w:val="1B05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font91"/>
    <w:basedOn w:val="4"/>
    <w:qFormat/>
    <w:uiPriority w:val="0"/>
    <w:rPr>
      <w:rFonts w:ascii="方正书宋_GBK" w:hAnsi="方正书宋_GBK" w:eastAsia="方正书宋_GBK" w:cs="方正书宋_GBK"/>
      <w:color w:val="000000"/>
      <w:sz w:val="24"/>
      <w:szCs w:val="24"/>
      <w:u w:val="none"/>
    </w:rPr>
  </w:style>
  <w:style w:type="character" w:customStyle="1" w:styleId="6">
    <w:name w:val="font21"/>
    <w:basedOn w:val="4"/>
    <w:qFormat/>
    <w:uiPriority w:val="0"/>
    <w:rPr>
      <w:rFonts w:hint="eastAsia" w:ascii="仿宋_GB2312" w:eastAsia="仿宋_GB2312" w:cs="仿宋_GB2312"/>
      <w:color w:val="000000"/>
      <w:sz w:val="24"/>
      <w:szCs w:val="24"/>
      <w:u w:val="none"/>
    </w:rPr>
  </w:style>
  <w:style w:type="character" w:customStyle="1" w:styleId="7">
    <w:name w:val="font131"/>
    <w:basedOn w:val="4"/>
    <w:qFormat/>
    <w:uiPriority w:val="0"/>
    <w:rPr>
      <w:rFonts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3943</Words>
  <Characters>3997</Characters>
  <Lines>0</Lines>
  <Paragraphs>0</Paragraphs>
  <TotalTime>0</TotalTime>
  <ScaleCrop>false</ScaleCrop>
  <LinksUpToDate>false</LinksUpToDate>
  <CharactersWithSpaces>4517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2022-12-21T02:48:00Z</dcterms:created>
  <dc:creator>冯雅娟</dc:creator>
  <cp:lastModifiedBy>冯雅娟</cp:lastModifiedBy>
  <dcterms:modified xsi:type="dcterms:W3CDTF">2022-12-21T02:48:46Z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D92741D09AFF46B5B500A716B22C08BD</vt:lpwstr>
  </property>
</Properties>
</file>